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EC" w:rsidRDefault="0018724F">
      <w:pPr>
        <w:jc w:val="center"/>
        <w:rPr>
          <w:b/>
        </w:rPr>
      </w:pPr>
      <w:r>
        <w:rPr>
          <w:b/>
        </w:rPr>
        <w:t>COST TRANSFERS ON SPONSORED PROJECTS</w:t>
      </w:r>
      <w:r w:rsidR="00476284">
        <w:rPr>
          <w:b/>
        </w:rPr>
        <w:t xml:space="preserve"> GUIDE</w:t>
      </w:r>
    </w:p>
    <w:p w:rsidR="0018724F" w:rsidRPr="00FA7B27" w:rsidRDefault="00274B70">
      <w:pPr>
        <w:jc w:val="center"/>
        <w:rPr>
          <w:b/>
        </w:rPr>
      </w:pPr>
      <w:r>
        <w:rPr>
          <w:b/>
        </w:rPr>
        <w:t xml:space="preserve"> </w:t>
      </w:r>
    </w:p>
    <w:p w:rsidR="00D064C2" w:rsidRPr="00FA7B27" w:rsidRDefault="0018724F" w:rsidP="00D064C2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 xml:space="preserve">Purpose </w:t>
      </w:r>
      <w:r w:rsidR="00F55414">
        <w:rPr>
          <w:b/>
          <w:i/>
        </w:rPr>
        <w:t>and Summary</w:t>
      </w:r>
    </w:p>
    <w:p w:rsidR="00976087" w:rsidRPr="00FA7B27" w:rsidRDefault="00976087" w:rsidP="00976087">
      <w:pPr>
        <w:ind w:left="360"/>
      </w:pPr>
    </w:p>
    <w:p w:rsidR="00F55414" w:rsidRPr="00FA7B27" w:rsidRDefault="00976087" w:rsidP="00976087">
      <w:r w:rsidRPr="00FA7B27">
        <w:t xml:space="preserve">The purpose of this guideline is to assure the integrity of the University’s practices in regard to the transfer of expenditures </w:t>
      </w:r>
      <w:r w:rsidR="00557B7C">
        <w:t>on and off sponsored projects. When</w:t>
      </w:r>
      <w:r w:rsidR="00F55414">
        <w:t xml:space="preserve"> an</w:t>
      </w:r>
      <w:r w:rsidR="00557B7C">
        <w:t xml:space="preserve"> expe</w:t>
      </w:r>
      <w:r w:rsidR="00F55414">
        <w:t>nse is</w:t>
      </w:r>
      <w:r w:rsidR="00557B7C">
        <w:t xml:space="preserve"> charg</w:t>
      </w:r>
      <w:r w:rsidR="00533CAD">
        <w:t>ed to a sponsored project, the U</w:t>
      </w:r>
      <w:r w:rsidR="00557B7C">
        <w:t xml:space="preserve">niversity “certifies” </w:t>
      </w:r>
      <w:r w:rsidR="00F55414">
        <w:t xml:space="preserve">to </w:t>
      </w:r>
      <w:r w:rsidR="00557B7C">
        <w:t xml:space="preserve">the </w:t>
      </w:r>
      <w:r w:rsidR="00F55414">
        <w:t xml:space="preserve">sponsor that the </w:t>
      </w:r>
      <w:r w:rsidR="00557B7C">
        <w:t>e</w:t>
      </w:r>
      <w:r w:rsidR="00F55414">
        <w:t xml:space="preserve">xpense is an allowable expense. When an expense is transferred, </w:t>
      </w:r>
      <w:r w:rsidR="00533CAD">
        <w:t xml:space="preserve">to make a correction, </w:t>
      </w:r>
      <w:r w:rsidR="00F55414">
        <w:t xml:space="preserve">there is the assumption that the original transaction was not handled </w:t>
      </w:r>
      <w:r w:rsidR="00274B70">
        <w:t xml:space="preserve">properly. </w:t>
      </w:r>
    </w:p>
    <w:p w:rsidR="00976087" w:rsidRPr="00FA7B27" w:rsidRDefault="00976087" w:rsidP="00976087">
      <w:pPr>
        <w:rPr>
          <w:highlight w:val="yellow"/>
        </w:rPr>
      </w:pPr>
    </w:p>
    <w:p w:rsidR="00FA7B27" w:rsidRPr="00FA7B27" w:rsidRDefault="00FA7B27" w:rsidP="00FA7B27">
      <w:r w:rsidRPr="00FA7B27">
        <w:t>Proper management of funds is essential to uphold the fiduciary respo</w:t>
      </w:r>
      <w:r>
        <w:t xml:space="preserve">nsibilities of the University. </w:t>
      </w:r>
      <w:r w:rsidRPr="00FA7B27">
        <w:t>Federal agencies and other sponsors may regard the following activities as indicative of inadequate fiscal or project management.</w:t>
      </w:r>
    </w:p>
    <w:p w:rsidR="00FA7B27" w:rsidRPr="00FA7B27" w:rsidRDefault="00FA7B27" w:rsidP="00FA7B27">
      <w:pPr>
        <w:ind w:left="360"/>
      </w:pPr>
    </w:p>
    <w:p w:rsidR="00FA7B27" w:rsidRPr="00FA7B27" w:rsidRDefault="00FA7B27" w:rsidP="00FA7B27">
      <w:pPr>
        <w:numPr>
          <w:ilvl w:val="0"/>
          <w:numId w:val="12"/>
        </w:numPr>
      </w:pPr>
      <w:r w:rsidRPr="00FA7B27">
        <w:t>Frequent cost transfers</w:t>
      </w:r>
      <w:r w:rsidR="00F34198">
        <w:t xml:space="preserve"> (on average one per month per account)</w:t>
      </w:r>
    </w:p>
    <w:p w:rsidR="00FA7B27" w:rsidRPr="00FA7B27" w:rsidRDefault="00FA7B27" w:rsidP="00FA7B27">
      <w:pPr>
        <w:numPr>
          <w:ilvl w:val="0"/>
          <w:numId w:val="12"/>
        </w:numPr>
      </w:pPr>
      <w:r w:rsidRPr="00FA7B27">
        <w:t>Late cost transfers</w:t>
      </w:r>
      <w:r w:rsidR="00F34198">
        <w:t xml:space="preserve"> (completed more than 90 days</w:t>
      </w:r>
      <w:r w:rsidR="00533CAD">
        <w:t xml:space="preserve"> after original transaction date</w:t>
      </w:r>
      <w:r w:rsidR="00F34198">
        <w:t>)</w:t>
      </w:r>
    </w:p>
    <w:p w:rsidR="00FA7B27" w:rsidRPr="00FA7B27" w:rsidRDefault="00FA7B27" w:rsidP="00FA7B27">
      <w:pPr>
        <w:numPr>
          <w:ilvl w:val="0"/>
          <w:numId w:val="12"/>
        </w:numPr>
      </w:pPr>
      <w:r w:rsidRPr="00FA7B27">
        <w:t>Inadequately documented or explained transfers, especially those which involve sponsored projects with overruns or unexpended balances</w:t>
      </w:r>
      <w:r w:rsidR="00F34198">
        <w:t xml:space="preserve"> </w:t>
      </w:r>
    </w:p>
    <w:p w:rsidR="00D064C2" w:rsidRPr="00FA7B27" w:rsidRDefault="00D064C2" w:rsidP="00D064C2"/>
    <w:p w:rsidR="002159A0" w:rsidRDefault="002159A0" w:rsidP="00D064C2">
      <w:r>
        <w:t xml:space="preserve">Proper management of sponsored funds includes charging expenses properly when the expenses are </w:t>
      </w:r>
      <w:r w:rsidR="00D842BD">
        <w:t>initially</w:t>
      </w:r>
      <w:r>
        <w:t xml:space="preserve"> posted to </w:t>
      </w:r>
      <w:r w:rsidR="00312376">
        <w:t xml:space="preserve">University </w:t>
      </w:r>
      <w:r>
        <w:t xml:space="preserve">accounts. Monthly account reconciliation, diligent review of financial reports and timely communication between </w:t>
      </w:r>
      <w:r w:rsidR="000A2A77">
        <w:t>PIs (</w:t>
      </w:r>
      <w:r w:rsidR="0018724F">
        <w:t>principal investigators</w:t>
      </w:r>
      <w:r w:rsidR="000A2A77">
        <w:t>)</w:t>
      </w:r>
      <w:r w:rsidR="0018724F">
        <w:t xml:space="preserve"> and support staff will help to ensure expenses are posted correctly and will reduce the need for cost transfers. </w:t>
      </w:r>
    </w:p>
    <w:p w:rsidR="002159A0" w:rsidRDefault="002159A0" w:rsidP="00D064C2"/>
    <w:p w:rsidR="0092309D" w:rsidRPr="00FA7B27" w:rsidRDefault="00312376" w:rsidP="00D064C2">
      <w:r>
        <w:t>Sometimes it is necessary</w:t>
      </w:r>
      <w:r w:rsidR="002159A0">
        <w:t xml:space="preserve"> to transfer a</w:t>
      </w:r>
      <w:r>
        <w:t>n</w:t>
      </w:r>
      <w:r w:rsidR="002159A0">
        <w:t xml:space="preserve"> </w:t>
      </w:r>
      <w:r>
        <w:t xml:space="preserve">expense </w:t>
      </w:r>
      <w:r w:rsidR="002159A0">
        <w:t xml:space="preserve">to another project or </w:t>
      </w:r>
      <w:r w:rsidR="00D842BD">
        <w:t>account</w:t>
      </w:r>
      <w:r w:rsidR="002159A0">
        <w:t xml:space="preserve"> or to correct a posting error. The </w:t>
      </w:r>
      <w:r>
        <w:t xml:space="preserve">University </w:t>
      </w:r>
      <w:r w:rsidR="002159A0">
        <w:t>is required to maintain records supporting charges to all sponsored projects</w:t>
      </w:r>
      <w:r w:rsidR="00D842BD">
        <w:t xml:space="preserve"> in</w:t>
      </w:r>
      <w:r w:rsidR="002159A0">
        <w:t xml:space="preserve"> accordance with the applicable </w:t>
      </w:r>
      <w:r>
        <w:t>f</w:t>
      </w:r>
      <w:r w:rsidR="002159A0">
        <w:t xml:space="preserve">ederal regulations and with the terms and conditions of the sponsored agreement and </w:t>
      </w:r>
      <w:r>
        <w:t>U</w:t>
      </w:r>
      <w:r w:rsidR="002159A0">
        <w:t xml:space="preserve">niversity policies. </w:t>
      </w:r>
    </w:p>
    <w:p w:rsidR="00D064C2" w:rsidRPr="00FA7B27" w:rsidRDefault="00D064C2" w:rsidP="00D064C2"/>
    <w:p w:rsidR="00D064C2" w:rsidRPr="00FA7B27" w:rsidRDefault="0018724F" w:rsidP="00D064C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Policy</w:t>
      </w:r>
    </w:p>
    <w:p w:rsidR="00D064C2" w:rsidRPr="00FA7B27" w:rsidRDefault="00D064C2" w:rsidP="00D064C2">
      <w:pPr>
        <w:pStyle w:val="ListParagraph"/>
        <w:autoSpaceDE w:val="0"/>
        <w:autoSpaceDN w:val="0"/>
        <w:adjustRightInd w:val="0"/>
        <w:rPr>
          <w:bCs/>
          <w:i/>
          <w:color w:val="000000"/>
        </w:rPr>
      </w:pPr>
    </w:p>
    <w:p w:rsidR="00274B70" w:rsidRPr="00FA7B27" w:rsidRDefault="00302108" w:rsidP="00C277FC">
      <w:pPr>
        <w:autoSpaceDE w:val="0"/>
        <w:autoSpaceDN w:val="0"/>
        <w:adjustRightInd w:val="0"/>
        <w:rPr>
          <w:color w:val="000000"/>
        </w:rPr>
      </w:pPr>
      <w:r>
        <w:t>C</w:t>
      </w:r>
      <w:r w:rsidRPr="00FA7B27">
        <w:t>ost transfer</w:t>
      </w:r>
      <w:r>
        <w:t>s</w:t>
      </w:r>
      <w:r w:rsidRPr="00FA7B27">
        <w:t xml:space="preserve"> must be </w:t>
      </w:r>
      <w:r w:rsidRPr="00302108">
        <w:rPr>
          <w:i/>
        </w:rPr>
        <w:t>initiated</w:t>
      </w:r>
      <w:r w:rsidRPr="00FA7B27">
        <w:t xml:space="preserve"> within </w:t>
      </w:r>
      <w:r w:rsidR="00C147B6">
        <w:t xml:space="preserve">45 </w:t>
      </w:r>
      <w:r w:rsidRPr="00FA7B27">
        <w:t xml:space="preserve">days from the original </w:t>
      </w:r>
      <w:r w:rsidR="00312376">
        <w:t>transaction date</w:t>
      </w:r>
      <w:r w:rsidRPr="00FA7B27">
        <w:t xml:space="preserve">. </w:t>
      </w:r>
    </w:p>
    <w:p w:rsidR="00F55414" w:rsidRDefault="00F55414" w:rsidP="00D064C2">
      <w:pPr>
        <w:autoSpaceDE w:val="0"/>
        <w:autoSpaceDN w:val="0"/>
        <w:adjustRightInd w:val="0"/>
        <w:rPr>
          <w:color w:val="000000"/>
        </w:rPr>
      </w:pPr>
    </w:p>
    <w:p w:rsidR="00274B70" w:rsidRDefault="00B97930" w:rsidP="00274B7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Cost t</w:t>
      </w:r>
      <w:r w:rsidR="00274B70">
        <w:rPr>
          <w:color w:val="000000"/>
        </w:rPr>
        <w:t xml:space="preserve">ransfers must be </w:t>
      </w:r>
      <w:r w:rsidR="00274B70" w:rsidRPr="00B97930">
        <w:rPr>
          <w:i/>
          <w:color w:val="000000"/>
        </w:rPr>
        <w:t>completed</w:t>
      </w:r>
      <w:r w:rsidR="00274B70">
        <w:rPr>
          <w:color w:val="000000"/>
        </w:rPr>
        <w:t xml:space="preserve"> within </w:t>
      </w:r>
      <w:r w:rsidR="00897121">
        <w:rPr>
          <w:color w:val="000000"/>
        </w:rPr>
        <w:t xml:space="preserve">90 days after the </w:t>
      </w:r>
      <w:r w:rsidR="00312376">
        <w:rPr>
          <w:color w:val="000000"/>
        </w:rPr>
        <w:t xml:space="preserve">original transaction date, </w:t>
      </w:r>
      <w:r w:rsidR="00274B70">
        <w:rPr>
          <w:color w:val="000000"/>
        </w:rPr>
        <w:t xml:space="preserve">prior to the submission of the final expenditure report to the sponsor, or </w:t>
      </w:r>
      <w:r w:rsidR="00E44372">
        <w:rPr>
          <w:color w:val="000000"/>
        </w:rPr>
        <w:t xml:space="preserve">prior </w:t>
      </w:r>
      <w:r w:rsidR="00274B70">
        <w:rPr>
          <w:color w:val="000000"/>
        </w:rPr>
        <w:t xml:space="preserve">the final request for reimbursement from the sponsor, whichever occurs first. </w:t>
      </w:r>
    </w:p>
    <w:p w:rsidR="00274B70" w:rsidRDefault="00274B70" w:rsidP="00D064C2">
      <w:pPr>
        <w:autoSpaceDE w:val="0"/>
        <w:autoSpaceDN w:val="0"/>
        <w:adjustRightInd w:val="0"/>
        <w:rPr>
          <w:color w:val="000000"/>
        </w:rPr>
      </w:pPr>
    </w:p>
    <w:p w:rsidR="00274B70" w:rsidRPr="00FA7B27" w:rsidRDefault="00274B70" w:rsidP="00274B70">
      <w:pPr>
        <w:tabs>
          <w:tab w:val="left" w:pos="360"/>
          <w:tab w:val="left" w:pos="720"/>
        </w:tabs>
      </w:pPr>
      <w:r w:rsidRPr="00F34198">
        <w:rPr>
          <w:b/>
          <w:smallCaps/>
          <w:color w:val="FF0000"/>
        </w:rPr>
        <w:t>If more than 90 days have passed</w:t>
      </w:r>
      <w:r w:rsidRPr="00F34198">
        <w:rPr>
          <w:color w:val="FF0000"/>
        </w:rPr>
        <w:t xml:space="preserve"> </w:t>
      </w:r>
      <w:r w:rsidRPr="00FA7B27">
        <w:t xml:space="preserve">since the </w:t>
      </w:r>
      <w:r w:rsidR="00312376">
        <w:t>original transaction date</w:t>
      </w:r>
      <w:r w:rsidRPr="00897121">
        <w:t xml:space="preserve"> a</w:t>
      </w:r>
      <w:r w:rsidRPr="00F34198">
        <w:rPr>
          <w:b/>
          <w:i/>
        </w:rPr>
        <w:t xml:space="preserve"> Cost Transfer Explanation &amp; Justification Form</w:t>
      </w:r>
      <w:r w:rsidRPr="00FA7B27">
        <w:t xml:space="preserve"> </w:t>
      </w:r>
      <w:r w:rsidR="00CE776C">
        <w:t xml:space="preserve">signed by the </w:t>
      </w:r>
      <w:r w:rsidR="000A2A77">
        <w:t>PI</w:t>
      </w:r>
      <w:r w:rsidR="00CE776C">
        <w:t xml:space="preserve">, department head and grants and contracts administrator </w:t>
      </w:r>
      <w:r w:rsidRPr="00FA7B27">
        <w:t>must accompany the</w:t>
      </w:r>
      <w:r w:rsidR="00897121">
        <w:t xml:space="preserve"> cost transfer request.</w:t>
      </w:r>
      <w:r w:rsidR="00DB349F">
        <w:t xml:space="preserve"> </w:t>
      </w:r>
      <w:r w:rsidR="00897121">
        <w:t>S</w:t>
      </w:r>
      <w:r w:rsidRPr="00FA7B27">
        <w:t xml:space="preserve">upporting documentation justifying the lateness of the cost transfer </w:t>
      </w:r>
      <w:r w:rsidR="00CE776C">
        <w:t xml:space="preserve">should </w:t>
      </w:r>
      <w:r w:rsidRPr="00FA7B27">
        <w:t>be attached t</w:t>
      </w:r>
      <w:r w:rsidR="00897121">
        <w:t>o the f</w:t>
      </w:r>
      <w:r w:rsidRPr="00FA7B27">
        <w:t>orm.</w:t>
      </w:r>
      <w:r w:rsidR="00CE776C">
        <w:t xml:space="preserve"> </w:t>
      </w:r>
    </w:p>
    <w:p w:rsidR="00274B70" w:rsidRPr="00FA7B27" w:rsidRDefault="00274B70" w:rsidP="00274B70">
      <w:pPr>
        <w:tabs>
          <w:tab w:val="left" w:pos="540"/>
          <w:tab w:val="left" w:pos="720"/>
        </w:tabs>
        <w:rPr>
          <w:b/>
        </w:rPr>
      </w:pPr>
    </w:p>
    <w:p w:rsidR="00274B70" w:rsidRPr="00FA7B27" w:rsidRDefault="00274B70" w:rsidP="00274B70">
      <w:pPr>
        <w:tabs>
          <w:tab w:val="left" w:pos="540"/>
          <w:tab w:val="left" w:pos="720"/>
        </w:tabs>
      </w:pPr>
      <w:r w:rsidRPr="00FA7B27">
        <w:t xml:space="preserve">Approval for cost transfers submitted later than 90 days will only be granted in </w:t>
      </w:r>
      <w:r w:rsidRPr="00CE776C">
        <w:rPr>
          <w:i/>
        </w:rPr>
        <w:t>extenuating</w:t>
      </w:r>
      <w:r w:rsidRPr="00FA7B27">
        <w:t xml:space="preserve"> circumstances</w:t>
      </w:r>
      <w:r w:rsidR="00CE776C">
        <w:t xml:space="preserve">. Extenuating circumstances are described later in this document. </w:t>
      </w:r>
    </w:p>
    <w:p w:rsidR="00546462" w:rsidRPr="00FA7B27" w:rsidRDefault="00546462" w:rsidP="001F152E"/>
    <w:p w:rsidR="00CE776C" w:rsidRDefault="00CE776C" w:rsidP="00D064C2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i/>
          <w:color w:val="000000"/>
        </w:rPr>
      </w:pPr>
      <w:r w:rsidRPr="00CE776C">
        <w:rPr>
          <w:b/>
          <w:bCs/>
          <w:i/>
          <w:color w:val="000000"/>
        </w:rPr>
        <w:t xml:space="preserve">Procedures </w:t>
      </w:r>
    </w:p>
    <w:p w:rsidR="00CE776C" w:rsidRDefault="00CE776C" w:rsidP="00CE776C">
      <w:pPr>
        <w:autoSpaceDE w:val="0"/>
        <w:autoSpaceDN w:val="0"/>
        <w:adjustRightInd w:val="0"/>
        <w:rPr>
          <w:bCs/>
          <w:color w:val="000000"/>
        </w:rPr>
      </w:pPr>
    </w:p>
    <w:p w:rsidR="00CE776C" w:rsidRDefault="00C72A63" w:rsidP="00CE776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 xml:space="preserve">Cost transfers can be separated into three general categories: </w:t>
      </w:r>
      <w:r w:rsidR="00D842BD">
        <w:rPr>
          <w:bCs/>
          <w:color w:val="000000"/>
        </w:rPr>
        <w:t xml:space="preserve">1) personnel expenses; 2) </w:t>
      </w:r>
      <w:r>
        <w:rPr>
          <w:bCs/>
          <w:color w:val="000000"/>
        </w:rPr>
        <w:t>supplies and services</w:t>
      </w:r>
      <w:r w:rsidR="00D842BD">
        <w:rPr>
          <w:bCs/>
          <w:color w:val="000000"/>
        </w:rPr>
        <w:t>;</w:t>
      </w:r>
      <w:r>
        <w:rPr>
          <w:bCs/>
          <w:color w:val="000000"/>
        </w:rPr>
        <w:t xml:space="preserve"> and </w:t>
      </w:r>
      <w:r w:rsidR="00D842BD">
        <w:rPr>
          <w:bCs/>
          <w:color w:val="000000"/>
        </w:rPr>
        <w:t xml:space="preserve">3) </w:t>
      </w:r>
      <w:r>
        <w:rPr>
          <w:bCs/>
          <w:color w:val="000000"/>
        </w:rPr>
        <w:t>scholarships. Each category of cost transfers are processed on different forms as show below:</w:t>
      </w:r>
    </w:p>
    <w:p w:rsidR="00C72A63" w:rsidRDefault="00C72A63" w:rsidP="00CE776C">
      <w:pPr>
        <w:autoSpaceDE w:val="0"/>
        <w:autoSpaceDN w:val="0"/>
        <w:adjustRightInd w:val="0"/>
        <w:rPr>
          <w:bCs/>
          <w:color w:val="000000"/>
        </w:rPr>
      </w:pPr>
    </w:p>
    <w:p w:rsidR="000B03A4" w:rsidRPr="00440E34" w:rsidRDefault="000B03A4" w:rsidP="000B03A4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b/>
        </w:rPr>
      </w:pPr>
      <w:r>
        <w:rPr>
          <w:b/>
        </w:rPr>
        <w:t xml:space="preserve">Requests to transfer personnel costs </w:t>
      </w:r>
      <w:r w:rsidRPr="00FA7B27">
        <w:t>are initiated by</w:t>
      </w:r>
      <w:r>
        <w:t xml:space="preserve"> one of the following ways. Complete </w:t>
      </w:r>
      <w:hyperlink r:id="rId8" w:history="1">
        <w:r w:rsidRPr="00FC611D">
          <w:rPr>
            <w:rStyle w:val="Hyperlink"/>
          </w:rPr>
          <w:t>labor distribution (LD) change PAF</w:t>
        </w:r>
      </w:hyperlink>
      <w:r>
        <w:t xml:space="preserve"> (p</w:t>
      </w:r>
      <w:r w:rsidRPr="00FA7B27">
        <w:t xml:space="preserve">ersonnel </w:t>
      </w:r>
      <w:r>
        <w:t>a</w:t>
      </w:r>
      <w:r w:rsidRPr="00FA7B27">
        <w:t xml:space="preserve">ction </w:t>
      </w:r>
      <w:r>
        <w:t>f</w:t>
      </w:r>
      <w:r w:rsidRPr="00FA7B27">
        <w:t>orm</w:t>
      </w:r>
      <w:r>
        <w:t xml:space="preserve">) for faculty, graduate assistants and staff salary and other earnings. Complete a </w:t>
      </w:r>
      <w:hyperlink r:id="rId9" w:history="1">
        <w:r w:rsidRPr="00FC611D">
          <w:rPr>
            <w:rStyle w:val="Hyperlink"/>
          </w:rPr>
          <w:t>retroactive SEAF</w:t>
        </w:r>
      </w:hyperlink>
      <w:bookmarkStart w:id="0" w:name="_GoBack"/>
      <w:bookmarkEnd w:id="0"/>
      <w:r>
        <w:t xml:space="preserve"> (student employment action form) for student salaries. </w:t>
      </w:r>
      <w:r>
        <w:br/>
      </w:r>
    </w:p>
    <w:p w:rsidR="00C72A63" w:rsidRPr="00C72A63" w:rsidRDefault="00C72A63" w:rsidP="00C72A63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</w:pPr>
      <w:r>
        <w:rPr>
          <w:b/>
        </w:rPr>
        <w:t>Requests to transfer costs for supplies and services</w:t>
      </w:r>
      <w:r w:rsidRPr="00C72A63">
        <w:rPr>
          <w:b/>
        </w:rPr>
        <w:t xml:space="preserve">, </w:t>
      </w:r>
      <w:r>
        <w:t xml:space="preserve">must be submitted via an adjustment journal entry submitted to the Office of </w:t>
      </w:r>
      <w:r w:rsidR="001F61B0">
        <w:t xml:space="preserve">Research and </w:t>
      </w:r>
      <w:r>
        <w:t>Sponsored Program</w:t>
      </w:r>
      <w:r w:rsidR="00440E34">
        <w:t xml:space="preserve">s. </w:t>
      </w:r>
    </w:p>
    <w:p w:rsidR="00C72A63" w:rsidRPr="00440E34" w:rsidRDefault="00C72A63" w:rsidP="00440E34">
      <w:pPr>
        <w:tabs>
          <w:tab w:val="left" w:pos="360"/>
          <w:tab w:val="left" w:pos="720"/>
        </w:tabs>
        <w:rPr>
          <w:b/>
        </w:rPr>
      </w:pPr>
    </w:p>
    <w:p w:rsidR="00C72A63" w:rsidRPr="000B03A4" w:rsidRDefault="00440E34" w:rsidP="00C72A63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b/>
        </w:rPr>
      </w:pPr>
      <w:r w:rsidRPr="000B03A4">
        <w:rPr>
          <w:b/>
        </w:rPr>
        <w:t xml:space="preserve">Requests to transfer </w:t>
      </w:r>
      <w:r w:rsidR="000B03A4" w:rsidRPr="000B03A4">
        <w:rPr>
          <w:b/>
        </w:rPr>
        <w:t xml:space="preserve">scholarship costs </w:t>
      </w:r>
      <w:r w:rsidR="000B03A4" w:rsidRPr="00FA7B27">
        <w:t>are</w:t>
      </w:r>
      <w:r w:rsidR="00C72A63" w:rsidRPr="00FA7B27">
        <w:t xml:space="preserve"> initiated with a Student Roster</w:t>
      </w:r>
      <w:r w:rsidR="000B03A4">
        <w:rPr>
          <w:b/>
        </w:rPr>
        <w:t>.</w:t>
      </w:r>
    </w:p>
    <w:p w:rsidR="00C72A63" w:rsidRPr="00FA7B27" w:rsidRDefault="00C72A63" w:rsidP="00C72A63">
      <w:pPr>
        <w:tabs>
          <w:tab w:val="left" w:pos="360"/>
          <w:tab w:val="left" w:pos="720"/>
        </w:tabs>
        <w:rPr>
          <w:b/>
        </w:rPr>
      </w:pPr>
    </w:p>
    <w:p w:rsidR="00C72A63" w:rsidRPr="00C72A63" w:rsidRDefault="000B03A4" w:rsidP="00C72A6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Cost transfers are</w:t>
      </w:r>
      <w:r w:rsidR="008C787A">
        <w:rPr>
          <w:bCs/>
          <w:color w:val="000000"/>
        </w:rPr>
        <w:t xml:space="preserve"> also categorized as</w:t>
      </w:r>
      <w:r>
        <w:rPr>
          <w:bCs/>
          <w:color w:val="000000"/>
        </w:rPr>
        <w:t xml:space="preserve"> either </w:t>
      </w:r>
      <w:r w:rsidRPr="000B03A4">
        <w:rPr>
          <w:bCs/>
          <w:i/>
          <w:color w:val="000000"/>
        </w:rPr>
        <w:t>standard</w:t>
      </w:r>
      <w:r>
        <w:rPr>
          <w:bCs/>
          <w:color w:val="000000"/>
        </w:rPr>
        <w:t xml:space="preserve"> or </w:t>
      </w:r>
      <w:r w:rsidRPr="000B03A4">
        <w:rPr>
          <w:bCs/>
          <w:i/>
          <w:color w:val="000000"/>
        </w:rPr>
        <w:t>correcting</w:t>
      </w:r>
      <w:r>
        <w:rPr>
          <w:bCs/>
          <w:color w:val="000000"/>
        </w:rPr>
        <w:t xml:space="preserve">. Standard cost transfers are those that are regular reoccurring charges to an account. Examples of standard cost transfers include chargebacks and allocation of </w:t>
      </w:r>
      <w:r w:rsidR="008C787A">
        <w:rPr>
          <w:bCs/>
          <w:color w:val="000000"/>
        </w:rPr>
        <w:t xml:space="preserve">shared </w:t>
      </w:r>
      <w:r>
        <w:rPr>
          <w:bCs/>
          <w:color w:val="000000"/>
        </w:rPr>
        <w:t>services, such as long distance telephone calls. Correcting cost transfers are completed to correct a posting error</w:t>
      </w:r>
      <w:r w:rsidR="008C787A">
        <w:rPr>
          <w:bCs/>
          <w:color w:val="000000"/>
        </w:rPr>
        <w:t>, to move a disallowed expense off an account</w:t>
      </w:r>
      <w:r w:rsidR="00A1654F">
        <w:rPr>
          <w:bCs/>
          <w:color w:val="000000"/>
        </w:rPr>
        <w:t xml:space="preserve">, </w:t>
      </w:r>
      <w:r w:rsidR="008C787A">
        <w:rPr>
          <w:bCs/>
          <w:color w:val="000000"/>
        </w:rPr>
        <w:t>to reallocate effort to reflect actual effo</w:t>
      </w:r>
      <w:r w:rsidR="00A1654F">
        <w:rPr>
          <w:bCs/>
          <w:color w:val="000000"/>
        </w:rPr>
        <w:t xml:space="preserve">rt, or to </w:t>
      </w:r>
      <w:r w:rsidR="008C787A">
        <w:rPr>
          <w:bCs/>
          <w:color w:val="000000"/>
        </w:rPr>
        <w:t xml:space="preserve">transfer pre-award costs from a department holding account when a </w:t>
      </w:r>
      <w:hyperlink r:id="rId10" w:history="1">
        <w:r w:rsidR="008C787A" w:rsidRPr="00C147B6">
          <w:rPr>
            <w:rStyle w:val="Hyperlink"/>
            <w:bCs/>
          </w:rPr>
          <w:t xml:space="preserve">provisional </w:t>
        </w:r>
        <w:r w:rsidR="00377E51" w:rsidRPr="00C147B6">
          <w:rPr>
            <w:rStyle w:val="Hyperlink"/>
            <w:bCs/>
          </w:rPr>
          <w:t>account</w:t>
        </w:r>
      </w:hyperlink>
      <w:r w:rsidR="00377E51">
        <w:rPr>
          <w:bCs/>
          <w:color w:val="000000"/>
        </w:rPr>
        <w:t xml:space="preserve"> was</w:t>
      </w:r>
      <w:r w:rsidR="008C787A">
        <w:rPr>
          <w:bCs/>
          <w:color w:val="000000"/>
        </w:rPr>
        <w:t xml:space="preserve"> not established.</w:t>
      </w:r>
    </w:p>
    <w:p w:rsidR="00147BEC" w:rsidRPr="00FA7B27" w:rsidRDefault="00147BEC" w:rsidP="005018F2"/>
    <w:p w:rsidR="008C787A" w:rsidRDefault="00A1654F" w:rsidP="000B03A4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Expenses transferred to a sponsored project </w:t>
      </w:r>
      <w:r w:rsidRPr="00A1654F">
        <w:rPr>
          <w:bCs/>
          <w:i/>
          <w:color w:val="000000"/>
        </w:rPr>
        <w:t>must</w:t>
      </w:r>
      <w:r>
        <w:rPr>
          <w:bCs/>
          <w:color w:val="000000"/>
        </w:rPr>
        <w:t xml:space="preserve"> be allowable to that project. In essence the expense must meet federal, sponsor specific and </w:t>
      </w:r>
      <w:r w:rsidR="001F61B0">
        <w:rPr>
          <w:bCs/>
          <w:color w:val="000000"/>
        </w:rPr>
        <w:t xml:space="preserve">University </w:t>
      </w:r>
      <w:r>
        <w:rPr>
          <w:bCs/>
          <w:color w:val="000000"/>
        </w:rPr>
        <w:t>guidelines as well as being reasonable, allocable, and consistently treated as a direct cost. Prior to i</w:t>
      </w:r>
      <w:r w:rsidR="003B6DB3">
        <w:rPr>
          <w:bCs/>
          <w:color w:val="000000"/>
        </w:rPr>
        <w:t xml:space="preserve">nitiating a cost transfer make sure the sponsor will reimburse UNI for the expense; sometimes expenses such as equipment or foreign travel are disallowed. </w:t>
      </w:r>
    </w:p>
    <w:p w:rsidR="003B6DB3" w:rsidRDefault="003B6DB3" w:rsidP="008C787A">
      <w:pPr>
        <w:spacing w:before="100" w:beforeAutospacing="1" w:after="100" w:afterAutospacing="1"/>
      </w:pPr>
      <w:r>
        <w:t xml:space="preserve">Each cost transfer must include the following: </w:t>
      </w:r>
    </w:p>
    <w:p w:rsidR="003B6DB3" w:rsidRPr="003B6DB3" w:rsidRDefault="003B6DB3" w:rsidP="003B6DB3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302108">
        <w:rPr>
          <w:color w:val="000000"/>
        </w:rPr>
        <w:t>Each journal</w:t>
      </w:r>
      <w:r>
        <w:rPr>
          <w:color w:val="000000"/>
        </w:rPr>
        <w:t xml:space="preserve"> </w:t>
      </w:r>
      <w:r w:rsidR="00D842BD">
        <w:rPr>
          <w:color w:val="000000"/>
        </w:rPr>
        <w:t xml:space="preserve">entry </w:t>
      </w:r>
      <w:r w:rsidRPr="00302108">
        <w:rPr>
          <w:color w:val="000000"/>
        </w:rPr>
        <w:t xml:space="preserve">must transfer </w:t>
      </w:r>
      <w:r w:rsidR="00D842BD">
        <w:rPr>
          <w:color w:val="000000"/>
        </w:rPr>
        <w:t xml:space="preserve">a </w:t>
      </w:r>
      <w:r w:rsidRPr="00302108">
        <w:rPr>
          <w:color w:val="000000"/>
        </w:rPr>
        <w:t xml:space="preserve">specific </w:t>
      </w:r>
      <w:r w:rsidR="00D842BD">
        <w:rPr>
          <w:color w:val="000000"/>
        </w:rPr>
        <w:t>expense</w:t>
      </w:r>
      <w:r>
        <w:rPr>
          <w:color w:val="000000"/>
        </w:rPr>
        <w:t xml:space="preserve"> </w:t>
      </w:r>
      <w:r w:rsidR="00D842BD">
        <w:rPr>
          <w:color w:val="000000"/>
        </w:rPr>
        <w:t>and be identified on the journal entry</w:t>
      </w:r>
      <w:r w:rsidR="00526DFC">
        <w:rPr>
          <w:color w:val="000000"/>
        </w:rPr>
        <w:t xml:space="preserve"> as they were</w:t>
      </w:r>
      <w:r w:rsidR="00D842BD">
        <w:rPr>
          <w:color w:val="000000"/>
        </w:rPr>
        <w:t xml:space="preserve"> initially posted to a University account</w:t>
      </w:r>
    </w:p>
    <w:p w:rsidR="003B6DB3" w:rsidRPr="00FA7B27" w:rsidRDefault="00343FFD" w:rsidP="003B6DB3">
      <w:pPr>
        <w:numPr>
          <w:ilvl w:val="0"/>
          <w:numId w:val="21"/>
        </w:numPr>
        <w:spacing w:before="100" w:beforeAutospacing="1" w:after="100" w:afterAutospacing="1"/>
      </w:pPr>
      <w:r>
        <w:t xml:space="preserve">Explanation of why </w:t>
      </w:r>
      <w:r w:rsidR="003B6DB3" w:rsidRPr="00FA7B27">
        <w:t xml:space="preserve">the expense </w:t>
      </w:r>
      <w:r>
        <w:t>was initially posted incorrectly</w:t>
      </w:r>
      <w:r w:rsidR="003B6DB3">
        <w:t>*</w:t>
      </w:r>
    </w:p>
    <w:p w:rsidR="003B6DB3" w:rsidRDefault="003B6DB3" w:rsidP="008C787A">
      <w:pPr>
        <w:numPr>
          <w:ilvl w:val="0"/>
          <w:numId w:val="21"/>
        </w:numPr>
        <w:spacing w:before="100" w:beforeAutospacing="1" w:after="100" w:afterAutospacing="1"/>
      </w:pPr>
      <w:r w:rsidRPr="00FA7B27">
        <w:t xml:space="preserve">Any systemic problems that might cause this </w:t>
      </w:r>
      <w:r w:rsidR="00C147B6">
        <w:t xml:space="preserve">error </w:t>
      </w:r>
      <w:r w:rsidRPr="00FA7B27">
        <w:t xml:space="preserve">to </w:t>
      </w:r>
      <w:r>
        <w:t>be repeated have been addressed</w:t>
      </w:r>
    </w:p>
    <w:p w:rsidR="003B6DB3" w:rsidRDefault="003B6DB3" w:rsidP="008C787A">
      <w:pPr>
        <w:numPr>
          <w:ilvl w:val="0"/>
          <w:numId w:val="21"/>
        </w:numPr>
        <w:spacing w:before="100" w:beforeAutospacing="1" w:after="100" w:afterAutospacing="1"/>
      </w:pPr>
      <w:r>
        <w:t xml:space="preserve">Back up documentation </w:t>
      </w:r>
    </w:p>
    <w:p w:rsidR="00526DFC" w:rsidRDefault="003B6DB3" w:rsidP="008C78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*Explanations which merely state, “</w:t>
      </w:r>
      <w:r w:rsidR="008C787A" w:rsidRPr="00FA7B27">
        <w:rPr>
          <w:b/>
          <w:bCs/>
        </w:rPr>
        <w:t xml:space="preserve">the transfer was made to correct </w:t>
      </w:r>
      <w:r>
        <w:rPr>
          <w:b/>
          <w:bCs/>
        </w:rPr>
        <w:t xml:space="preserve">an </w:t>
      </w:r>
      <w:r w:rsidR="008C787A" w:rsidRPr="00FA7B27">
        <w:rPr>
          <w:b/>
          <w:bCs/>
        </w:rPr>
        <w:t>error</w:t>
      </w:r>
      <w:r w:rsidR="00D842BD">
        <w:rPr>
          <w:b/>
          <w:bCs/>
        </w:rPr>
        <w:t>”</w:t>
      </w:r>
      <w:r w:rsidR="008C787A" w:rsidRPr="00FA7B27">
        <w:rPr>
          <w:b/>
          <w:bCs/>
        </w:rPr>
        <w:t xml:space="preserve"> or </w:t>
      </w:r>
      <w:r w:rsidR="00D842BD">
        <w:rPr>
          <w:b/>
          <w:bCs/>
        </w:rPr>
        <w:t>“</w:t>
      </w:r>
      <w:r w:rsidR="008C787A" w:rsidRPr="00FA7B27">
        <w:rPr>
          <w:b/>
          <w:bCs/>
        </w:rPr>
        <w:t>to</w:t>
      </w:r>
      <w:r>
        <w:rPr>
          <w:b/>
          <w:bCs/>
        </w:rPr>
        <w:t xml:space="preserve"> transfer to correct project are</w:t>
      </w:r>
      <w:r w:rsidR="008C787A" w:rsidRPr="00FA7B27">
        <w:rPr>
          <w:b/>
          <w:bCs/>
        </w:rPr>
        <w:t xml:space="preserve"> not sufficient.” </w:t>
      </w:r>
    </w:p>
    <w:p w:rsidR="008C787A" w:rsidRPr="00FA7B27" w:rsidRDefault="00D842BD" w:rsidP="008C78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/>
      </w:r>
      <w:r w:rsidR="008C787A" w:rsidRPr="00D842BD">
        <w:rPr>
          <w:bCs/>
        </w:rPr>
        <w:t>Examples of adequate documentation are as follows:</w:t>
      </w:r>
    </w:p>
    <w:p w:rsidR="008C787A" w:rsidRPr="00FA7B27" w:rsidRDefault="008C787A" w:rsidP="008C787A">
      <w:pPr>
        <w:autoSpaceDE w:val="0"/>
        <w:autoSpaceDN w:val="0"/>
        <w:adjustRightInd w:val="0"/>
        <w:rPr>
          <w:b/>
          <w:bCs/>
        </w:rPr>
      </w:pPr>
    </w:p>
    <w:p w:rsidR="008C787A" w:rsidRPr="00FA7B27" w:rsidRDefault="008C787A" w:rsidP="008C787A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A7B27">
        <w:t xml:space="preserve">“Monthly review by PI of </w:t>
      </w:r>
      <w:r w:rsidR="00343FFD">
        <w:t>e</w:t>
      </w:r>
      <w:r w:rsidRPr="00FA7B27">
        <w:t xml:space="preserve">ffort </w:t>
      </w:r>
      <w:r w:rsidR="00343FFD">
        <w:t>r</w:t>
      </w:r>
      <w:r w:rsidRPr="00FA7B27">
        <w:t xml:space="preserve">eporting </w:t>
      </w:r>
      <w:r w:rsidR="00343FFD">
        <w:t>c</w:t>
      </w:r>
      <w:r w:rsidRPr="00FA7B27">
        <w:t>ertification revealed error charging payroll expenses to grant. Support staff was not notified that grad student is assigned to another research project.”</w:t>
      </w:r>
      <w:r w:rsidR="00343FFD">
        <w:t xml:space="preserve"> </w:t>
      </w:r>
    </w:p>
    <w:p w:rsidR="008C787A" w:rsidRPr="00FA7B27" w:rsidRDefault="008C787A" w:rsidP="008C787A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A7B27">
        <w:t>“To transfer pre-award project costs to the continuation account</w:t>
      </w:r>
      <w:r w:rsidR="00526DFC">
        <w:t>.</w:t>
      </w:r>
      <w:r w:rsidRPr="00FA7B27">
        <w:t>”</w:t>
      </w:r>
    </w:p>
    <w:p w:rsidR="008C787A" w:rsidRPr="00FA7B27" w:rsidRDefault="008C787A" w:rsidP="008C787A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A7B27">
        <w:t>“</w:t>
      </w:r>
      <w:r w:rsidR="00C147B6">
        <w:t>Error made by transposing fund numbers cause</w:t>
      </w:r>
      <w:r w:rsidR="00526DFC">
        <w:t>d</w:t>
      </w:r>
      <w:r w:rsidR="00C147B6">
        <w:t xml:space="preserve"> the expense to be charged to the incorrect account</w:t>
      </w:r>
      <w:r w:rsidR="00526DFC">
        <w:t>.</w:t>
      </w:r>
      <w:r w:rsidRPr="00FA7B27">
        <w:t>”</w:t>
      </w:r>
    </w:p>
    <w:p w:rsidR="008C787A" w:rsidRPr="00FA7B27" w:rsidRDefault="008C787A" w:rsidP="008C787A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A7B27">
        <w:t xml:space="preserve"> “Continued funding from agency was expected to be under same grant but was assigned a different award number, requiring setup of new </w:t>
      </w:r>
      <w:r w:rsidR="00343FFD" w:rsidRPr="00FA7B27">
        <w:t xml:space="preserve">project. </w:t>
      </w:r>
      <w:r w:rsidRPr="00FA7B27">
        <w:t>This transfer moves expenses to new project.”</w:t>
      </w:r>
    </w:p>
    <w:p w:rsidR="008C787A" w:rsidRPr="00FA7B27" w:rsidRDefault="008C787A" w:rsidP="008C787A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FA7B27">
        <w:lastRenderedPageBreak/>
        <w:t>“Project start date is 01/201</w:t>
      </w:r>
      <w:r w:rsidR="00C147B6">
        <w:t>3</w:t>
      </w:r>
      <w:r w:rsidRPr="00FA7B27">
        <w:t xml:space="preserve"> but final sign-off delayed availability in financial system until 06/201</w:t>
      </w:r>
      <w:r w:rsidR="00C147B6">
        <w:t>3</w:t>
      </w:r>
      <w:r w:rsidRPr="00FA7B27">
        <w:t>. These costs were incurred during project period but charged to a non-grant fund.”</w:t>
      </w:r>
    </w:p>
    <w:p w:rsidR="008C787A" w:rsidRDefault="008C787A" w:rsidP="000B03A4">
      <w:pPr>
        <w:autoSpaceDE w:val="0"/>
        <w:autoSpaceDN w:val="0"/>
        <w:adjustRightInd w:val="0"/>
        <w:rPr>
          <w:b/>
          <w:bCs/>
          <w:color w:val="000000"/>
        </w:rPr>
      </w:pPr>
    </w:p>
    <w:p w:rsidR="00C72A63" w:rsidRPr="00FA7B27" w:rsidRDefault="00343FFD" w:rsidP="00C72A6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i/>
          <w:color w:val="000000"/>
        </w:rPr>
        <w:t xml:space="preserve">Additional information </w:t>
      </w:r>
      <w:r w:rsidR="00850563">
        <w:rPr>
          <w:b/>
          <w:bCs/>
          <w:i/>
          <w:color w:val="000000"/>
        </w:rPr>
        <w:t>about cost transfers</w:t>
      </w:r>
    </w:p>
    <w:p w:rsidR="00C72A63" w:rsidRPr="00FA7B27" w:rsidRDefault="00C72A63" w:rsidP="00C72A63">
      <w:pPr>
        <w:autoSpaceDE w:val="0"/>
        <w:autoSpaceDN w:val="0"/>
        <w:adjustRightInd w:val="0"/>
        <w:rPr>
          <w:b/>
          <w:bCs/>
          <w:color w:val="000000"/>
        </w:rPr>
      </w:pPr>
    </w:p>
    <w:p w:rsidR="00343FFD" w:rsidRPr="00FA7B27" w:rsidRDefault="00343FFD" w:rsidP="00343FFD">
      <w:pPr>
        <w:autoSpaceDE w:val="0"/>
        <w:autoSpaceDN w:val="0"/>
        <w:adjustRightInd w:val="0"/>
        <w:rPr>
          <w:b/>
          <w:bCs/>
          <w:color w:val="000000"/>
        </w:rPr>
      </w:pPr>
      <w:r w:rsidRPr="00FA7B27">
        <w:rPr>
          <w:b/>
          <w:bCs/>
          <w:color w:val="000000"/>
        </w:rPr>
        <w:t xml:space="preserve">Cost Transfers </w:t>
      </w:r>
      <w:r w:rsidR="00AB36DC">
        <w:rPr>
          <w:b/>
          <w:bCs/>
          <w:color w:val="000000"/>
        </w:rPr>
        <w:t xml:space="preserve">are NOT allowed for: </w:t>
      </w:r>
    </w:p>
    <w:p w:rsidR="00343FFD" w:rsidRPr="00FA7B27" w:rsidRDefault="00AB36DC" w:rsidP="00343F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="00343FFD" w:rsidRPr="00FA7B27">
        <w:rPr>
          <w:color w:val="000000"/>
        </w:rPr>
        <w:t>eficit spending from one sponsored project to</w:t>
      </w:r>
      <w:r>
        <w:rPr>
          <w:color w:val="000000"/>
        </w:rPr>
        <w:t xml:space="preserve"> another sponsored project, unless approved in advance by Office of </w:t>
      </w:r>
      <w:r w:rsidR="00377E51">
        <w:rPr>
          <w:color w:val="000000"/>
        </w:rPr>
        <w:t xml:space="preserve">Research and </w:t>
      </w:r>
      <w:r>
        <w:rPr>
          <w:color w:val="000000"/>
        </w:rPr>
        <w:t xml:space="preserve">Sponsored Programs </w:t>
      </w:r>
    </w:p>
    <w:p w:rsidR="00343FFD" w:rsidRPr="00FA7B27" w:rsidRDefault="00850563" w:rsidP="00343F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Depleting account </w:t>
      </w:r>
      <w:r w:rsidR="00343FFD" w:rsidRPr="00FA7B27">
        <w:rPr>
          <w:color w:val="000000"/>
        </w:rPr>
        <w:t>balance</w:t>
      </w:r>
      <w:r>
        <w:rPr>
          <w:color w:val="000000"/>
        </w:rPr>
        <w:t xml:space="preserve">s (e.g., transferring expenses that have no direct benefit to the project, </w:t>
      </w:r>
      <w:r w:rsidRPr="00850563">
        <w:rPr>
          <w:i/>
          <w:color w:val="000000"/>
        </w:rPr>
        <w:t>especially</w:t>
      </w:r>
      <w:r w:rsidR="00343FFD" w:rsidRPr="00850563">
        <w:rPr>
          <w:i/>
          <w:color w:val="000000"/>
        </w:rPr>
        <w:t xml:space="preserve"> </w:t>
      </w:r>
      <w:r w:rsidR="00343FFD" w:rsidRPr="00FA7B27">
        <w:rPr>
          <w:color w:val="000000"/>
        </w:rPr>
        <w:t>during the last months of a project</w:t>
      </w:r>
      <w:r>
        <w:rPr>
          <w:color w:val="000000"/>
        </w:rPr>
        <w:t>)</w:t>
      </w:r>
      <w:r w:rsidR="00343FFD" w:rsidRPr="00FA7B27">
        <w:rPr>
          <w:color w:val="000000"/>
        </w:rPr>
        <w:t>.</w:t>
      </w:r>
    </w:p>
    <w:p w:rsidR="00343FFD" w:rsidRPr="00FA7B27" w:rsidRDefault="00850563" w:rsidP="00343F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</w:t>
      </w:r>
      <w:r w:rsidR="00343FFD" w:rsidRPr="00FA7B27">
        <w:rPr>
          <w:color w:val="000000"/>
        </w:rPr>
        <w:t>nidentified expense</w:t>
      </w:r>
      <w:r>
        <w:rPr>
          <w:color w:val="000000"/>
        </w:rPr>
        <w:t>s</w:t>
      </w:r>
      <w:r w:rsidR="00343FFD" w:rsidRPr="00FA7B27">
        <w:rPr>
          <w:color w:val="000000"/>
        </w:rPr>
        <w:t xml:space="preserve"> or lump-sum expenses to an award.</w:t>
      </w:r>
    </w:p>
    <w:p w:rsidR="00343FFD" w:rsidRPr="00FA7B27" w:rsidRDefault="00850563" w:rsidP="00343FF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</w:t>
      </w:r>
      <w:r w:rsidR="00343FFD" w:rsidRPr="00FA7B27">
        <w:rPr>
          <w:color w:val="000000"/>
        </w:rPr>
        <w:t xml:space="preserve">xpenses that were </w:t>
      </w:r>
      <w:r w:rsidR="00343FFD" w:rsidRPr="00C147B6">
        <w:rPr>
          <w:b/>
          <w:color w:val="000000"/>
        </w:rPr>
        <w:t>not</w:t>
      </w:r>
      <w:r w:rsidR="00343FFD" w:rsidRPr="00FA7B27">
        <w:rPr>
          <w:color w:val="000000"/>
        </w:rPr>
        <w:t xml:space="preserve"> incurred during the project period of performance, unless specifically allowed by the sponsor</w:t>
      </w:r>
      <w:r>
        <w:rPr>
          <w:color w:val="000000"/>
        </w:rPr>
        <w:t xml:space="preserve"> (these expenses do not meet the allocability test)</w:t>
      </w:r>
    </w:p>
    <w:p w:rsidR="00C72A63" w:rsidRPr="00FA7B27" w:rsidRDefault="00C72A63" w:rsidP="00C72A63"/>
    <w:p w:rsidR="00147BEC" w:rsidRPr="00FA7B27" w:rsidRDefault="00147BEC" w:rsidP="00BD5FD2">
      <w:pPr>
        <w:tabs>
          <w:tab w:val="left" w:pos="540"/>
          <w:tab w:val="left" w:pos="720"/>
        </w:tabs>
        <w:rPr>
          <w:b/>
        </w:rPr>
      </w:pPr>
      <w:r w:rsidRPr="00FA7B27">
        <w:rPr>
          <w:b/>
        </w:rPr>
        <w:t xml:space="preserve">Examples of Acceptable Extenuating Circumstances for Cost Transfers </w:t>
      </w:r>
      <w:r w:rsidR="00850563">
        <w:rPr>
          <w:b/>
        </w:rPr>
        <w:t xml:space="preserve">more than </w:t>
      </w:r>
      <w:r w:rsidR="00850563" w:rsidRPr="00FA7B27">
        <w:rPr>
          <w:b/>
        </w:rPr>
        <w:t>90</w:t>
      </w:r>
      <w:r w:rsidRPr="00FA7B27">
        <w:rPr>
          <w:b/>
        </w:rPr>
        <w:t xml:space="preserve"> days</w:t>
      </w:r>
      <w:r w:rsidR="00850563">
        <w:rPr>
          <w:b/>
        </w:rPr>
        <w:t xml:space="preserve"> old</w:t>
      </w:r>
      <w:r w:rsidRPr="00FA7B27">
        <w:rPr>
          <w:b/>
        </w:rPr>
        <w:t xml:space="preserve">: </w:t>
      </w:r>
    </w:p>
    <w:p w:rsidR="00147BEC" w:rsidRPr="00FA7B27" w:rsidRDefault="00147BEC" w:rsidP="00850563">
      <w:pPr>
        <w:numPr>
          <w:ilvl w:val="0"/>
          <w:numId w:val="2"/>
        </w:numPr>
        <w:tabs>
          <w:tab w:val="left" w:pos="540"/>
          <w:tab w:val="left" w:pos="720"/>
        </w:tabs>
        <w:ind w:left="540" w:firstLine="0"/>
        <w:rPr>
          <w:b/>
        </w:rPr>
      </w:pPr>
      <w:r w:rsidRPr="00FA7B27">
        <w:t xml:space="preserve">Late issuance of an account number for reasons beyond the control of the requestor; supporting documentation required. </w:t>
      </w:r>
      <w:r w:rsidRPr="00FA7B27">
        <w:rPr>
          <w:b/>
        </w:rPr>
        <w:t>Note: charges should be transferred within 30 days of issuance of an account.</w:t>
      </w:r>
    </w:p>
    <w:p w:rsidR="00147BEC" w:rsidRPr="00FA7B27" w:rsidRDefault="00147BEC" w:rsidP="00850563">
      <w:pPr>
        <w:tabs>
          <w:tab w:val="left" w:pos="540"/>
          <w:tab w:val="left" w:pos="720"/>
        </w:tabs>
        <w:ind w:left="540"/>
      </w:pPr>
    </w:p>
    <w:p w:rsidR="00147BEC" w:rsidRPr="00FA7B27" w:rsidRDefault="008346D0" w:rsidP="00850563">
      <w:pPr>
        <w:numPr>
          <w:ilvl w:val="0"/>
          <w:numId w:val="2"/>
        </w:numPr>
        <w:tabs>
          <w:tab w:val="left" w:pos="540"/>
          <w:tab w:val="left" w:pos="720"/>
        </w:tabs>
        <w:ind w:left="540" w:firstLine="0"/>
      </w:pPr>
      <w:r>
        <w:t xml:space="preserve">Award documents are issued late and PI started project prior to award execution or </w:t>
      </w:r>
      <w:r w:rsidR="00147BEC" w:rsidRPr="00FA7B27">
        <w:t>execution of a subcontract</w:t>
      </w:r>
      <w:r w:rsidR="00377E51">
        <w:t xml:space="preserve">; </w:t>
      </w:r>
      <w:r w:rsidR="00377E51" w:rsidRPr="00FA7B27">
        <w:t>supporting</w:t>
      </w:r>
      <w:r w:rsidR="00147BEC" w:rsidRPr="00FA7B27">
        <w:t xml:space="preserve"> documentation required. </w:t>
      </w:r>
      <w:r w:rsidR="00377E51">
        <w:t xml:space="preserve">In this instance it would have been better to establish a </w:t>
      </w:r>
      <w:hyperlink r:id="rId11" w:history="1">
        <w:r w:rsidR="00377E51" w:rsidRPr="00C147B6">
          <w:rPr>
            <w:rStyle w:val="Hyperlink"/>
          </w:rPr>
          <w:t>provisional account</w:t>
        </w:r>
      </w:hyperlink>
      <w:r w:rsidR="00377E51">
        <w:t xml:space="preserve">. </w:t>
      </w:r>
    </w:p>
    <w:p w:rsidR="00147BEC" w:rsidRPr="00FA7B27" w:rsidRDefault="00147BEC" w:rsidP="00850563">
      <w:pPr>
        <w:tabs>
          <w:tab w:val="left" w:pos="540"/>
          <w:tab w:val="left" w:pos="720"/>
        </w:tabs>
        <w:ind w:left="540"/>
      </w:pPr>
    </w:p>
    <w:p w:rsidR="00147BEC" w:rsidRPr="00FA7B27" w:rsidRDefault="00147BEC" w:rsidP="00850563">
      <w:pPr>
        <w:numPr>
          <w:ilvl w:val="0"/>
          <w:numId w:val="2"/>
        </w:numPr>
        <w:tabs>
          <w:tab w:val="left" w:pos="540"/>
          <w:tab w:val="left" w:pos="720"/>
        </w:tabs>
        <w:ind w:left="540" w:firstLine="0"/>
      </w:pPr>
      <w:r w:rsidRPr="00FA7B27">
        <w:t>Failure of another department to take action</w:t>
      </w:r>
      <w:r w:rsidR="00DB349F" w:rsidRPr="00FA7B27">
        <w:t>,</w:t>
      </w:r>
      <w:r w:rsidR="00DB349F">
        <w:t xml:space="preserve"> </w:t>
      </w:r>
      <w:r w:rsidR="00377E51">
        <w:t>(</w:t>
      </w:r>
      <w:r w:rsidR="00377E51" w:rsidRPr="00FA7B27">
        <w:t>e.g</w:t>
      </w:r>
      <w:r w:rsidRPr="00FA7B27">
        <w:t>. on a properly submitted payroll distribution change request</w:t>
      </w:r>
      <w:r w:rsidR="00377E51">
        <w:t>)</w:t>
      </w:r>
      <w:r w:rsidRPr="00FA7B27">
        <w:t>; su</w:t>
      </w:r>
      <w:r w:rsidR="008346D0">
        <w:t>pporting documentation required.</w:t>
      </w:r>
      <w:r w:rsidRPr="00FA7B27">
        <w:t xml:space="preserve"> </w:t>
      </w:r>
    </w:p>
    <w:p w:rsidR="00147BEC" w:rsidRPr="00FA7B27" w:rsidRDefault="00147BEC" w:rsidP="00850563">
      <w:pPr>
        <w:tabs>
          <w:tab w:val="left" w:pos="540"/>
          <w:tab w:val="left" w:pos="720"/>
        </w:tabs>
        <w:ind w:left="540"/>
      </w:pPr>
    </w:p>
    <w:p w:rsidR="00850563" w:rsidRPr="00FA7B27" w:rsidRDefault="00850563" w:rsidP="00850563">
      <w:pPr>
        <w:tabs>
          <w:tab w:val="left" w:pos="540"/>
          <w:tab w:val="left" w:pos="720"/>
        </w:tabs>
      </w:pPr>
      <w:r w:rsidRPr="00FA7B27">
        <w:t>DO NOT include absences of PI or responsible administrator, nor shortage or lack of experience of staff</w:t>
      </w:r>
      <w:r w:rsidR="008346D0">
        <w:t xml:space="preserve"> as reason for a late cost transfer</w:t>
      </w:r>
      <w:r w:rsidR="00A507B2">
        <w:t>. The department h</w:t>
      </w:r>
      <w:r w:rsidRPr="00FA7B27">
        <w:t xml:space="preserve">ead and the PI </w:t>
      </w:r>
      <w:r w:rsidR="00A507B2">
        <w:t xml:space="preserve">are responsible </w:t>
      </w:r>
      <w:r w:rsidRPr="00FA7B27">
        <w:t xml:space="preserve">to ensure </w:t>
      </w:r>
      <w:r w:rsidR="000A5C91">
        <w:t xml:space="preserve">resources are </w:t>
      </w:r>
      <w:r w:rsidR="00A507B2">
        <w:t xml:space="preserve">available </w:t>
      </w:r>
      <w:r w:rsidRPr="00FA7B27">
        <w:t xml:space="preserve">to </w:t>
      </w:r>
      <w:r w:rsidR="00A507B2">
        <w:t xml:space="preserve">properly </w:t>
      </w:r>
      <w:r w:rsidRPr="00FA7B27">
        <w:t xml:space="preserve">administer </w:t>
      </w:r>
      <w:r w:rsidR="00A507B2">
        <w:t xml:space="preserve">sponsored </w:t>
      </w:r>
      <w:r w:rsidRPr="00FA7B27">
        <w:t>projects</w:t>
      </w:r>
      <w:r w:rsidR="00DB349F">
        <w:t>.</w:t>
      </w:r>
      <w:r w:rsidRPr="00FA7B27">
        <w:t xml:space="preserve"> </w:t>
      </w:r>
    </w:p>
    <w:p w:rsidR="00147BEC" w:rsidRPr="00FA7B27" w:rsidRDefault="00147BEC" w:rsidP="00BD5FD2">
      <w:pPr>
        <w:tabs>
          <w:tab w:val="left" w:pos="540"/>
          <w:tab w:val="left" w:pos="720"/>
        </w:tabs>
      </w:pPr>
    </w:p>
    <w:p w:rsidR="00147BEC" w:rsidRPr="00FA7B27" w:rsidRDefault="000A5C91" w:rsidP="00BD5FD2">
      <w:pPr>
        <w:tabs>
          <w:tab w:val="left" w:pos="540"/>
          <w:tab w:val="left" w:pos="720"/>
        </w:tabs>
      </w:pPr>
      <w:r w:rsidRPr="000A5C91">
        <w:rPr>
          <w:b/>
        </w:rPr>
        <w:t>Avoid late cost transfers</w:t>
      </w:r>
      <w:r>
        <w:t xml:space="preserve"> by </w:t>
      </w:r>
      <w:r w:rsidR="00147BEC" w:rsidRPr="00FA7B27">
        <w:t xml:space="preserve">anticipating the possible need for additional clarification or documentation from the Office of </w:t>
      </w:r>
      <w:r w:rsidR="00377E51">
        <w:t xml:space="preserve">Research and </w:t>
      </w:r>
      <w:r w:rsidR="00147BEC" w:rsidRPr="00FA7B27">
        <w:t xml:space="preserve">Sponsored Programs. </w:t>
      </w:r>
    </w:p>
    <w:p w:rsidR="00147BEC" w:rsidRPr="00FA7B27" w:rsidRDefault="00147BEC" w:rsidP="00BD5FD2">
      <w:pPr>
        <w:tabs>
          <w:tab w:val="left" w:pos="540"/>
          <w:tab w:val="left" w:pos="720"/>
        </w:tabs>
      </w:pPr>
    </w:p>
    <w:p w:rsidR="00476284" w:rsidRPr="005D7113" w:rsidRDefault="000A5C91" w:rsidP="00397512">
      <w:pPr>
        <w:tabs>
          <w:tab w:val="left" w:pos="540"/>
          <w:tab w:val="left" w:pos="720"/>
        </w:tabs>
      </w:pPr>
      <w:r w:rsidRPr="000A5C91">
        <w:rPr>
          <w:b/>
        </w:rPr>
        <w:t>Do not use</w:t>
      </w:r>
      <w:r>
        <w:t xml:space="preserve"> </w:t>
      </w:r>
      <w:r w:rsidRPr="000A5C91">
        <w:rPr>
          <w:b/>
        </w:rPr>
        <w:t xml:space="preserve">a sponsored project accounts </w:t>
      </w:r>
      <w:r w:rsidR="00147BEC" w:rsidRPr="000A5C91">
        <w:rPr>
          <w:b/>
        </w:rPr>
        <w:t xml:space="preserve">as </w:t>
      </w:r>
      <w:r w:rsidRPr="000A5C91">
        <w:rPr>
          <w:b/>
        </w:rPr>
        <w:t xml:space="preserve">a </w:t>
      </w:r>
      <w:r w:rsidR="00147BEC" w:rsidRPr="000A5C91">
        <w:rPr>
          <w:b/>
        </w:rPr>
        <w:t>holding</w:t>
      </w:r>
      <w:r w:rsidRPr="000A5C91">
        <w:rPr>
          <w:b/>
        </w:rPr>
        <w:t xml:space="preserve"> account</w:t>
      </w:r>
      <w:r w:rsidR="00147BEC" w:rsidRPr="00FA7B27">
        <w:t xml:space="preserve"> for expenses which will subsequently be transferred elsewhere</w:t>
      </w:r>
      <w:r>
        <w:t xml:space="preserve">. This includes </w:t>
      </w:r>
      <w:r w:rsidR="00147BEC" w:rsidRPr="00FA7B27">
        <w:t>competing or non-competing continuations of the same project for which the notice of award or the new account num</w:t>
      </w:r>
      <w:r w:rsidR="00DB349F">
        <w:t xml:space="preserve">ber has not yet been received. </w:t>
      </w:r>
    </w:p>
    <w:sectPr w:rsidR="00476284" w:rsidRPr="005D7113" w:rsidSect="00065113">
      <w:headerReference w:type="default" r:id="rId12"/>
      <w:footerReference w:type="default" r:id="rId13"/>
      <w:pgSz w:w="12240" w:h="15840"/>
      <w:pgMar w:top="1170" w:right="16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4DD" w:rsidRDefault="002704DD">
      <w:r>
        <w:separator/>
      </w:r>
    </w:p>
  </w:endnote>
  <w:endnote w:type="continuationSeparator" w:id="0">
    <w:p w:rsidR="002704DD" w:rsidRDefault="0027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347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C91" w:rsidRDefault="000A5C91" w:rsidP="000651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4DD" w:rsidRDefault="002704DD">
      <w:r>
        <w:separator/>
      </w:r>
    </w:p>
  </w:footnote>
  <w:footnote w:type="continuationSeparator" w:id="0">
    <w:p w:rsidR="002704DD" w:rsidRDefault="0027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4" w:rsidRDefault="00E77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549"/>
    <w:multiLevelType w:val="hybridMultilevel"/>
    <w:tmpl w:val="4CDAA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4A3"/>
    <w:multiLevelType w:val="hybridMultilevel"/>
    <w:tmpl w:val="72DE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24A8"/>
    <w:multiLevelType w:val="hybridMultilevel"/>
    <w:tmpl w:val="1548E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0C4"/>
    <w:multiLevelType w:val="hybridMultilevel"/>
    <w:tmpl w:val="6AE67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077B"/>
    <w:multiLevelType w:val="hybridMultilevel"/>
    <w:tmpl w:val="219A7A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812B99"/>
    <w:multiLevelType w:val="hybridMultilevel"/>
    <w:tmpl w:val="6E7E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56A"/>
    <w:multiLevelType w:val="hybridMultilevel"/>
    <w:tmpl w:val="B0C2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91AD8"/>
    <w:multiLevelType w:val="hybridMultilevel"/>
    <w:tmpl w:val="1768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960"/>
    <w:multiLevelType w:val="multilevel"/>
    <w:tmpl w:val="C76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D3D2A"/>
    <w:multiLevelType w:val="multilevel"/>
    <w:tmpl w:val="D37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B474E"/>
    <w:multiLevelType w:val="hybridMultilevel"/>
    <w:tmpl w:val="8334C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6BF1"/>
    <w:multiLevelType w:val="hybridMultilevel"/>
    <w:tmpl w:val="3FE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1C74"/>
    <w:multiLevelType w:val="hybridMultilevel"/>
    <w:tmpl w:val="DE808A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005421"/>
    <w:multiLevelType w:val="hybridMultilevel"/>
    <w:tmpl w:val="B7D03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53876"/>
    <w:multiLevelType w:val="multilevel"/>
    <w:tmpl w:val="65F8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11EA3"/>
    <w:multiLevelType w:val="hybridMultilevel"/>
    <w:tmpl w:val="1020F1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5D6166B"/>
    <w:multiLevelType w:val="hybridMultilevel"/>
    <w:tmpl w:val="79B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D1674"/>
    <w:multiLevelType w:val="hybridMultilevel"/>
    <w:tmpl w:val="C10C7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5D0F11"/>
    <w:multiLevelType w:val="hybridMultilevel"/>
    <w:tmpl w:val="44A6F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773B4"/>
    <w:multiLevelType w:val="hybridMultilevel"/>
    <w:tmpl w:val="575E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0E02"/>
    <w:multiLevelType w:val="hybridMultilevel"/>
    <w:tmpl w:val="4B2066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F0"/>
    <w:rsid w:val="0004522C"/>
    <w:rsid w:val="0005732B"/>
    <w:rsid w:val="00065113"/>
    <w:rsid w:val="00092454"/>
    <w:rsid w:val="000A2A77"/>
    <w:rsid w:val="000A5C91"/>
    <w:rsid w:val="000B03A4"/>
    <w:rsid w:val="00113FEE"/>
    <w:rsid w:val="00131515"/>
    <w:rsid w:val="00147BEC"/>
    <w:rsid w:val="0016072E"/>
    <w:rsid w:val="00180118"/>
    <w:rsid w:val="0018724F"/>
    <w:rsid w:val="0019761B"/>
    <w:rsid w:val="001F152E"/>
    <w:rsid w:val="001F61B0"/>
    <w:rsid w:val="002159A0"/>
    <w:rsid w:val="00232361"/>
    <w:rsid w:val="002704DD"/>
    <w:rsid w:val="00274B70"/>
    <w:rsid w:val="002922D1"/>
    <w:rsid w:val="002E5E26"/>
    <w:rsid w:val="00302108"/>
    <w:rsid w:val="00312376"/>
    <w:rsid w:val="00343FFD"/>
    <w:rsid w:val="00377E51"/>
    <w:rsid w:val="00397512"/>
    <w:rsid w:val="003B6DB3"/>
    <w:rsid w:val="00440E34"/>
    <w:rsid w:val="00445EE3"/>
    <w:rsid w:val="00476284"/>
    <w:rsid w:val="00476A69"/>
    <w:rsid w:val="0048771B"/>
    <w:rsid w:val="004D5F7C"/>
    <w:rsid w:val="005018F2"/>
    <w:rsid w:val="00526DFC"/>
    <w:rsid w:val="00533CAD"/>
    <w:rsid w:val="005411B8"/>
    <w:rsid w:val="00546462"/>
    <w:rsid w:val="00557B7C"/>
    <w:rsid w:val="005D7113"/>
    <w:rsid w:val="005F46D4"/>
    <w:rsid w:val="00616866"/>
    <w:rsid w:val="006213AF"/>
    <w:rsid w:val="006508CF"/>
    <w:rsid w:val="006965E4"/>
    <w:rsid w:val="006C6972"/>
    <w:rsid w:val="00740324"/>
    <w:rsid w:val="00750F7C"/>
    <w:rsid w:val="007B604B"/>
    <w:rsid w:val="007E3707"/>
    <w:rsid w:val="007F64D5"/>
    <w:rsid w:val="0080043A"/>
    <w:rsid w:val="008346D0"/>
    <w:rsid w:val="00846498"/>
    <w:rsid w:val="00850563"/>
    <w:rsid w:val="00874EA5"/>
    <w:rsid w:val="00894A88"/>
    <w:rsid w:val="00897121"/>
    <w:rsid w:val="008C787A"/>
    <w:rsid w:val="008C7902"/>
    <w:rsid w:val="008E1BAA"/>
    <w:rsid w:val="008F1830"/>
    <w:rsid w:val="00900B20"/>
    <w:rsid w:val="0092309D"/>
    <w:rsid w:val="009274AD"/>
    <w:rsid w:val="009325F0"/>
    <w:rsid w:val="00976087"/>
    <w:rsid w:val="009A19DE"/>
    <w:rsid w:val="009E62C2"/>
    <w:rsid w:val="00A1654F"/>
    <w:rsid w:val="00A167DA"/>
    <w:rsid w:val="00A507B2"/>
    <w:rsid w:val="00A52E55"/>
    <w:rsid w:val="00AA58AD"/>
    <w:rsid w:val="00AB36DC"/>
    <w:rsid w:val="00AB7DB1"/>
    <w:rsid w:val="00AC57FA"/>
    <w:rsid w:val="00AC5F20"/>
    <w:rsid w:val="00AC731E"/>
    <w:rsid w:val="00B97930"/>
    <w:rsid w:val="00BC7085"/>
    <w:rsid w:val="00BD3D90"/>
    <w:rsid w:val="00BD5FD2"/>
    <w:rsid w:val="00C147B6"/>
    <w:rsid w:val="00C17C52"/>
    <w:rsid w:val="00C277FC"/>
    <w:rsid w:val="00C72A63"/>
    <w:rsid w:val="00CB3215"/>
    <w:rsid w:val="00CC4242"/>
    <w:rsid w:val="00CE776C"/>
    <w:rsid w:val="00D064C2"/>
    <w:rsid w:val="00D311E0"/>
    <w:rsid w:val="00D801B0"/>
    <w:rsid w:val="00D842BD"/>
    <w:rsid w:val="00D91071"/>
    <w:rsid w:val="00DB349F"/>
    <w:rsid w:val="00E31469"/>
    <w:rsid w:val="00E44372"/>
    <w:rsid w:val="00E77914"/>
    <w:rsid w:val="00ED277D"/>
    <w:rsid w:val="00F34198"/>
    <w:rsid w:val="00F55414"/>
    <w:rsid w:val="00F70C80"/>
    <w:rsid w:val="00F86074"/>
    <w:rsid w:val="00FA5A4B"/>
    <w:rsid w:val="00FA7B27"/>
    <w:rsid w:val="00FB5F62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171F74-78DE-411A-ABBD-4A88E66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A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6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476A6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76A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8011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A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E1BA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213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98"/>
    <w:rPr>
      <w:b/>
      <w:bCs/>
      <w:sz w:val="20"/>
      <w:szCs w:val="20"/>
    </w:rPr>
  </w:style>
  <w:style w:type="table" w:styleId="TableGrid">
    <w:name w:val="Table Grid"/>
    <w:basedOn w:val="TableNormal"/>
    <w:locked/>
    <w:rsid w:val="0047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0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.uni.edu/paf/ld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p.uni.edu/provisional-accou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sp.uni.edu/provisional-accou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va.access.uni.edu/seaf/faces/seafHome.jspx;jsessionid=U9Sn-XJE1ShRz9Y7FcTEBYy4GRS1ZvDKJ-J8aQ_V1V7IE9WgS90p!860264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12D8-3B9F-47AE-9AA3-DE46671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TRANSFER POLICY</vt:lpstr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TRANSFER POLICY</dc:title>
  <dc:creator>Ed</dc:creator>
  <cp:lastModifiedBy>Sean Parrish</cp:lastModifiedBy>
  <cp:revision>4</cp:revision>
  <cp:lastPrinted>2023-09-08T19:21:00Z</cp:lastPrinted>
  <dcterms:created xsi:type="dcterms:W3CDTF">2014-03-21T12:14:00Z</dcterms:created>
  <dcterms:modified xsi:type="dcterms:W3CDTF">2023-09-08T19:26:00Z</dcterms:modified>
</cp:coreProperties>
</file>